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Минсельхоза России от 14.04.2023 N 388</w:t>
              <w:br/>
              <w:t xml:space="preserve">"Об утверждении видов мероприятий, связанных с воспроизводством плодородия земель сельскохозяйственного назначения, и порядка определения стоимости их проведения"</w:t>
              <w:br/>
              <w:t xml:space="preserve">(Зарегистрировано в Минюсте России 25.05.2023 N 73463)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09.06.2023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25 мая 2023 г. N 73463</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СЕЛЬСКОГО ХОЗЯЙСТВА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14 апреля 2023 г. N 388</w:t>
      </w:r>
    </w:p>
    <w:p>
      <w:pPr>
        <w:pStyle w:val="2"/>
        <w:jc w:val="center"/>
      </w:pPr>
      <w:r>
        <w:rPr>
          <w:sz w:val="20"/>
        </w:rPr>
      </w:r>
    </w:p>
    <w:p>
      <w:pPr>
        <w:pStyle w:val="2"/>
        <w:jc w:val="center"/>
      </w:pPr>
      <w:r>
        <w:rPr>
          <w:sz w:val="20"/>
        </w:rPr>
        <w:t xml:space="preserve">ОБ УТВЕРЖДЕНИИ ВИДОВ МЕРОПРИЯТИЙ, СВЯЗАННЫХ</w:t>
      </w:r>
    </w:p>
    <w:p>
      <w:pPr>
        <w:pStyle w:val="2"/>
        <w:jc w:val="center"/>
      </w:pPr>
      <w:r>
        <w:rPr>
          <w:sz w:val="20"/>
        </w:rPr>
        <w:t xml:space="preserve">С ВОСПРОИЗВОДСТВОМ ПЛОДОРОДИЯ ЗЕМЕЛЬ СЕЛЬСКОХОЗЯЙСТВЕННОГО</w:t>
      </w:r>
    </w:p>
    <w:p>
      <w:pPr>
        <w:pStyle w:val="2"/>
        <w:jc w:val="center"/>
      </w:pPr>
      <w:r>
        <w:rPr>
          <w:sz w:val="20"/>
        </w:rPr>
        <w:t xml:space="preserve">НАЗНАЧЕНИЯ, И ПОРЯДКА ОПРЕДЕЛЕНИЯ СТОИМОСТИ ИХ ПРОВЕДЕНИЯ</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24.07.2002 N 101-ФЗ (ред. от 29.12.2022) &quot;Об обороте земель сельскохозяйственного назначения&quot; (с изм. и доп., вступ. в силу с 01.03.2023) {КонсультантПлюс}">
        <w:r>
          <w:rPr>
            <w:sz w:val="20"/>
            <w:color w:val="0000ff"/>
          </w:rPr>
          <w:t xml:space="preserve">абзацем вторым пункта 8 статьи 6</w:t>
        </w:r>
      </w:hyperlink>
      <w:r>
        <w:rPr>
          <w:sz w:val="20"/>
        </w:rPr>
        <w:t xml:space="preserve"> Федерального закона от 24 июля 2002 г. N 101-ФЗ "Об обороте земель сельскохозяйственного назначения" &lt;*&gt; приказываю:</w:t>
      </w:r>
    </w:p>
    <w:p>
      <w:pPr>
        <w:pStyle w:val="0"/>
        <w:spacing w:before="200" w:line-rule="auto"/>
        <w:ind w:firstLine="540"/>
        <w:jc w:val="both"/>
      </w:pP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имеется в виду постановление Правительства Российской Федерации N 450 от 12.06.2008, а не от 12.06.2022.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&lt;*&gt; </w:t>
      </w:r>
      <w:hyperlink w:history="0" r:id="rId8" w:tooltip="Постановление Правительства РФ от 12.06.2008 N 450 (ред. от 07.04.2023) &quot;О Министерстве сельского хозяйства Российской Федерации&quot; {КонсультантПлюс}">
        <w:r>
          <w:rPr>
            <w:sz w:val="20"/>
            <w:color w:val="0000ff"/>
          </w:rPr>
          <w:t xml:space="preserve">Абзац пятый пункта 1</w:t>
        </w:r>
      </w:hyperlink>
      <w:r>
        <w:rPr>
          <w:sz w:val="20"/>
        </w:rPr>
        <w:t xml:space="preserve"> Положения о Министерстве сельского хозяйства Российской Федерации, утвержденного постановлением Правительства Российской Федерации от 12.06.2022 N 450.</w:t>
      </w:r>
    </w:p>
    <w:p>
      <w:pPr>
        <w:pStyle w:val="0"/>
        <w:jc w:val="both"/>
      </w:pPr>
      <w:r>
        <w:rPr>
          <w:sz w:val="20"/>
        </w:rPr>
      </w:r>
    </w:p>
    <w:p>
      <w:pPr>
        <w:pStyle w:val="0"/>
        <w:ind w:firstLine="540"/>
        <w:jc w:val="both"/>
      </w:pPr>
      <w:r>
        <w:rPr>
          <w:sz w:val="20"/>
        </w:rPr>
        <w:t xml:space="preserve">1. Утвердить:</w:t>
      </w:r>
    </w:p>
    <w:p>
      <w:pPr>
        <w:pStyle w:val="0"/>
        <w:spacing w:before="200" w:line-rule="auto"/>
        <w:ind w:firstLine="540"/>
        <w:jc w:val="both"/>
      </w:pPr>
      <w:r>
        <w:rPr>
          <w:sz w:val="20"/>
        </w:rPr>
        <w:t xml:space="preserve">виды мероприятий, связанные с воспроизводством плодородия земель сельскохозяйственного назначения, согласно </w:t>
      </w:r>
      <w:hyperlink w:history="0" w:anchor="P35" w:tooltip="ВИДЫ МЕРОПРИЯТИЙ,">
        <w:r>
          <w:rPr>
            <w:sz w:val="20"/>
            <w:color w:val="0000ff"/>
          </w:rPr>
          <w:t xml:space="preserve">приложению N 1</w:t>
        </w:r>
      </w:hyperlink>
      <w:r>
        <w:rPr>
          <w:sz w:val="20"/>
        </w:rPr>
        <w:t xml:space="preserve"> к настоящему приказу;</w:t>
      </w:r>
    </w:p>
    <w:p>
      <w:pPr>
        <w:pStyle w:val="0"/>
        <w:spacing w:before="200" w:line-rule="auto"/>
        <w:ind w:firstLine="540"/>
        <w:jc w:val="both"/>
      </w:pPr>
      <w:r>
        <w:rPr>
          <w:sz w:val="20"/>
        </w:rPr>
        <w:t xml:space="preserve">порядок определения стоимости проведения мероприятий, связанных с воспроизводством плодородия земель сельскохозяйственного назначения, согласно </w:t>
      </w:r>
      <w:hyperlink w:history="0" w:anchor="P57" w:tooltip="ПОРЯДОК">
        <w:r>
          <w:rPr>
            <w:sz w:val="20"/>
            <w:color w:val="0000ff"/>
          </w:rPr>
          <w:t xml:space="preserve">приложению N 2</w:t>
        </w:r>
      </w:hyperlink>
      <w:r>
        <w:rPr>
          <w:sz w:val="20"/>
        </w:rPr>
        <w:t xml:space="preserve"> к настоящему приказу.</w:t>
      </w:r>
    </w:p>
    <w:p>
      <w:pPr>
        <w:pStyle w:val="0"/>
        <w:spacing w:before="200" w:line-rule="auto"/>
        <w:ind w:firstLine="540"/>
        <w:jc w:val="both"/>
      </w:pPr>
      <w:r>
        <w:rPr>
          <w:sz w:val="20"/>
        </w:rPr>
        <w:t xml:space="preserve">2. Признать утратившим силу </w:t>
      </w:r>
      <w:hyperlink w:history="0" r:id="rId9" w:tooltip="Приказ Минсельхоза России от 28.12.2016 N 600 &quot;Об утверждении порядка определения стоимости работ по культуртехнической мелиорации, необходимых для приведения земельного участка из земель сельскохозяйственного назначения в состояние, пригодное для ведения сельского хозяйства&quot; (Зарегистрировано в Минюсте России 02.03.2017 N 45825) ------------ Утратил силу или отменен {КонсультантПлюс}">
        <w:r>
          <w:rPr>
            <w:sz w:val="20"/>
            <w:color w:val="0000ff"/>
          </w:rPr>
          <w:t xml:space="preserve">приказ</w:t>
        </w:r>
      </w:hyperlink>
      <w:r>
        <w:rPr>
          <w:sz w:val="20"/>
        </w:rPr>
        <w:t xml:space="preserve"> Минсельхоза России от 28 декабря 2016 г. N 600 "Об утверждении порядка определения стоимости работ по культуртехнической мелиорации, необходимых для приведения земельного участка из земель сельскохозяйственного назначения в состояние, пригодное для ведения сельского хозяйства" (зарегистрирован Минюстом России 2 марта 2017 г., регистрационный N 45825).</w:t>
      </w:r>
    </w:p>
    <w:p>
      <w:pPr>
        <w:pStyle w:val="0"/>
        <w:jc w:val="both"/>
      </w:pPr>
      <w:r>
        <w:rPr>
          <w:sz w:val="20"/>
        </w:rPr>
      </w:r>
    </w:p>
    <w:p>
      <w:pPr>
        <w:pStyle w:val="0"/>
        <w:jc w:val="right"/>
      </w:pPr>
      <w:r>
        <w:rPr>
          <w:sz w:val="20"/>
        </w:rPr>
        <w:t xml:space="preserve">И.о. Министра</w:t>
      </w:r>
    </w:p>
    <w:p>
      <w:pPr>
        <w:pStyle w:val="0"/>
        <w:jc w:val="right"/>
      </w:pPr>
      <w:r>
        <w:rPr>
          <w:sz w:val="20"/>
        </w:rPr>
        <w:t xml:space="preserve">О.Н.ЛУТ</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приказу Минсельхоза России</w:t>
      </w:r>
    </w:p>
    <w:p>
      <w:pPr>
        <w:pStyle w:val="0"/>
        <w:jc w:val="right"/>
      </w:pPr>
      <w:r>
        <w:rPr>
          <w:sz w:val="20"/>
        </w:rPr>
        <w:t xml:space="preserve">от 14.04.2023 г. N 388</w:t>
      </w:r>
    </w:p>
    <w:p>
      <w:pPr>
        <w:pStyle w:val="0"/>
        <w:jc w:val="both"/>
      </w:pPr>
      <w:r>
        <w:rPr>
          <w:sz w:val="20"/>
        </w:rPr>
      </w:r>
    </w:p>
    <w:bookmarkStart w:id="35" w:name="P35"/>
    <w:bookmarkEnd w:id="35"/>
    <w:p>
      <w:pPr>
        <w:pStyle w:val="2"/>
        <w:jc w:val="center"/>
      </w:pPr>
      <w:r>
        <w:rPr>
          <w:sz w:val="20"/>
        </w:rPr>
        <w:t xml:space="preserve">ВИДЫ МЕРОПРИЯТИЙ,</w:t>
      </w:r>
    </w:p>
    <w:p>
      <w:pPr>
        <w:pStyle w:val="2"/>
        <w:jc w:val="center"/>
      </w:pPr>
      <w:r>
        <w:rPr>
          <w:sz w:val="20"/>
        </w:rPr>
        <w:t xml:space="preserve">СВЯЗАННЫЕ С ВОСПРОИЗВОДСТВОМ ПЛОДОРОДИЯ ЗЕМЕЛЬ</w:t>
      </w:r>
    </w:p>
    <w:p>
      <w:pPr>
        <w:pStyle w:val="2"/>
        <w:jc w:val="center"/>
      </w:pPr>
      <w:r>
        <w:rPr>
          <w:sz w:val="20"/>
        </w:rPr>
        <w:t xml:space="preserve">СЕЛЬСКОХОЗЯЙСТВЕННОГО НАЗНАЧЕНИЯ</w:t>
      </w:r>
    </w:p>
    <w:p>
      <w:pPr>
        <w:pStyle w:val="0"/>
        <w:jc w:val="both"/>
      </w:pPr>
      <w:r>
        <w:rPr>
          <w:sz w:val="20"/>
        </w:rPr>
      </w:r>
    </w:p>
    <w:p>
      <w:pPr>
        <w:pStyle w:val="0"/>
        <w:ind w:firstLine="540"/>
        <w:jc w:val="both"/>
      </w:pPr>
      <w:r>
        <w:rPr>
          <w:sz w:val="20"/>
        </w:rPr>
        <w:t xml:space="preserve">1. Расчистка земель от древесной и травянистой растительности.</w:t>
      </w:r>
    </w:p>
    <w:p>
      <w:pPr>
        <w:pStyle w:val="0"/>
        <w:spacing w:before="200" w:line-rule="auto"/>
        <w:ind w:firstLine="540"/>
        <w:jc w:val="both"/>
      </w:pPr>
      <w:r>
        <w:rPr>
          <w:sz w:val="20"/>
        </w:rPr>
        <w:t xml:space="preserve">2. Расчистка земель от кочек, пней и мха.</w:t>
      </w:r>
    </w:p>
    <w:p>
      <w:pPr>
        <w:pStyle w:val="0"/>
        <w:spacing w:before="200" w:line-rule="auto"/>
        <w:ind w:firstLine="540"/>
        <w:jc w:val="both"/>
      </w:pPr>
      <w:r>
        <w:rPr>
          <w:sz w:val="20"/>
        </w:rPr>
        <w:t xml:space="preserve">3. Расчистка земель от камней и иных предметов.</w:t>
      </w:r>
    </w:p>
    <w:p>
      <w:pPr>
        <w:pStyle w:val="0"/>
        <w:spacing w:before="200" w:line-rule="auto"/>
        <w:ind w:firstLine="540"/>
        <w:jc w:val="both"/>
      </w:pPr>
      <w:r>
        <w:rPr>
          <w:sz w:val="20"/>
        </w:rPr>
        <w:t xml:space="preserve">4. Первичная обработка почвы.</w:t>
      </w:r>
    </w:p>
    <w:p>
      <w:pPr>
        <w:pStyle w:val="0"/>
        <w:spacing w:before="200" w:line-rule="auto"/>
        <w:ind w:firstLine="540"/>
        <w:jc w:val="both"/>
      </w:pPr>
      <w:r>
        <w:rPr>
          <w:sz w:val="20"/>
        </w:rPr>
        <w:t xml:space="preserve">5. Известкование почв.</w:t>
      </w:r>
    </w:p>
    <w:p>
      <w:pPr>
        <w:pStyle w:val="0"/>
        <w:spacing w:before="200" w:line-rule="auto"/>
        <w:ind w:firstLine="540"/>
        <w:jc w:val="both"/>
      </w:pPr>
      <w:r>
        <w:rPr>
          <w:sz w:val="20"/>
        </w:rPr>
        <w:t xml:space="preserve">6. Фосфоритование почв.</w:t>
      </w:r>
    </w:p>
    <w:p>
      <w:pPr>
        <w:pStyle w:val="0"/>
        <w:spacing w:before="200" w:line-rule="auto"/>
        <w:ind w:firstLine="540"/>
        <w:jc w:val="both"/>
      </w:pPr>
      <w:r>
        <w:rPr>
          <w:sz w:val="20"/>
        </w:rPr>
        <w:t xml:space="preserve">7. Гипсование почв.</w:t>
      </w:r>
    </w:p>
    <w:p>
      <w:pPr>
        <w:pStyle w:val="0"/>
        <w:spacing w:before="200" w:line-rule="auto"/>
        <w:ind w:firstLine="540"/>
        <w:jc w:val="both"/>
      </w:pPr>
      <w:r>
        <w:rPr>
          <w:sz w:val="20"/>
        </w:rPr>
        <w:t xml:space="preserve">8. Внесение минеральных удобрений.</w:t>
      </w:r>
    </w:p>
    <w:p>
      <w:pPr>
        <w:pStyle w:val="0"/>
        <w:spacing w:before="200" w:line-rule="auto"/>
        <w:ind w:firstLine="540"/>
        <w:jc w:val="both"/>
      </w:pPr>
      <w:r>
        <w:rPr>
          <w:sz w:val="20"/>
        </w:rPr>
        <w:t xml:space="preserve">9. Внесение органических удобрений.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 Минсельхоза России</w:t>
      </w:r>
    </w:p>
    <w:p>
      <w:pPr>
        <w:pStyle w:val="0"/>
        <w:jc w:val="right"/>
      </w:pPr>
      <w:r>
        <w:rPr>
          <w:sz w:val="20"/>
        </w:rPr>
        <w:t xml:space="preserve">от 14.04.2023 г. N 388</w:t>
      </w:r>
    </w:p>
    <w:p>
      <w:pPr>
        <w:pStyle w:val="0"/>
        <w:jc w:val="both"/>
      </w:pPr>
      <w:r>
        <w:rPr>
          <w:sz w:val="20"/>
        </w:rPr>
      </w:r>
    </w:p>
    <w:bookmarkStart w:id="57" w:name="P57"/>
    <w:bookmarkEnd w:id="57"/>
    <w:p>
      <w:pPr>
        <w:pStyle w:val="2"/>
        <w:jc w:val="center"/>
      </w:pPr>
      <w:r>
        <w:rPr>
          <w:sz w:val="20"/>
        </w:rPr>
        <w:t xml:space="preserve">ПОРЯДОК</w:t>
      </w:r>
    </w:p>
    <w:p>
      <w:pPr>
        <w:pStyle w:val="2"/>
        <w:jc w:val="center"/>
      </w:pPr>
      <w:r>
        <w:rPr>
          <w:sz w:val="20"/>
        </w:rPr>
        <w:t xml:space="preserve">ОПРЕДЕЛЕНИЯ СТОИМОСТИ ПРОВЕДЕНИЯ МЕРОПРИЯТИЙ,</w:t>
      </w:r>
    </w:p>
    <w:p>
      <w:pPr>
        <w:pStyle w:val="2"/>
        <w:jc w:val="center"/>
      </w:pPr>
      <w:r>
        <w:rPr>
          <w:sz w:val="20"/>
        </w:rPr>
        <w:t xml:space="preserve">СВЯЗАННЫХ С ВОСПРОИЗВОДСТВОМ ПЛОДОРОДИЯ ЗЕМЕЛЬ</w:t>
      </w:r>
    </w:p>
    <w:p>
      <w:pPr>
        <w:pStyle w:val="2"/>
        <w:jc w:val="center"/>
      </w:pPr>
      <w:r>
        <w:rPr>
          <w:sz w:val="20"/>
        </w:rPr>
        <w:t xml:space="preserve">СЕЛЬСКОХОЗЯЙСТВЕННОГО НАЗНАЧЕНИЯ</w:t>
      </w:r>
    </w:p>
    <w:p>
      <w:pPr>
        <w:pStyle w:val="0"/>
        <w:jc w:val="both"/>
      </w:pPr>
      <w:r>
        <w:rPr>
          <w:sz w:val="20"/>
        </w:rPr>
      </w:r>
    </w:p>
    <w:p>
      <w:pPr>
        <w:pStyle w:val="0"/>
        <w:ind w:firstLine="540"/>
        <w:jc w:val="both"/>
      </w:pPr>
      <w:r>
        <w:rPr>
          <w:sz w:val="20"/>
        </w:rPr>
        <w:t xml:space="preserve">1. Стоимость проведения мероприятий, связанных с воспроизводством плодородия земель сельскохозяйственного назначения, указанных в </w:t>
      </w:r>
      <w:hyperlink w:history="0" w:anchor="P35" w:tooltip="ВИДЫ МЕРОПРИЯТИЙ,">
        <w:r>
          <w:rPr>
            <w:sz w:val="20"/>
            <w:color w:val="0000ff"/>
          </w:rPr>
          <w:t xml:space="preserve">приложении N 1</w:t>
        </w:r>
      </w:hyperlink>
      <w:r>
        <w:rPr>
          <w:sz w:val="20"/>
        </w:rPr>
        <w:t xml:space="preserve"> к настоящему приказу (далее - мероприятия), определяется исходя из площади земельного участка (части земельного участка), в отношении которой необходимо проведение мероприятий в соответствии с результатами обследований, предусмотренных </w:t>
      </w:r>
      <w:hyperlink w:history="0" r:id="rId10" w:tooltip="Федеральный закон от 16.07.1998 N 101-ФЗ (ред. от 30.12.2021) &quot;О государственном регулировании обеспечения плодородия земель сельскохозяйственного назначения&quot; {КонсультантПлюс}">
        <w:r>
          <w:rPr>
            <w:sz w:val="20"/>
            <w:color w:val="0000ff"/>
          </w:rPr>
          <w:t xml:space="preserve">статьей 15</w:t>
        </w:r>
      </w:hyperlink>
      <w:r>
        <w:rPr>
          <w:sz w:val="20"/>
        </w:rPr>
        <w:t xml:space="preserve"> Федерального закона от 16 июля 1998 г. N 101-ФЗ "О государственном регулировании обеспечения плодородия земель сельскохозяйственного назначения".</w:t>
      </w:r>
    </w:p>
    <w:p>
      <w:pPr>
        <w:pStyle w:val="0"/>
        <w:spacing w:before="200" w:line-rule="auto"/>
        <w:ind w:firstLine="540"/>
        <w:jc w:val="both"/>
      </w:pPr>
      <w:r>
        <w:rPr>
          <w:sz w:val="20"/>
        </w:rPr>
        <w:t xml:space="preserve">2. Определение стоимости проведения мероприятий в 2023 году осуществляется в соответствии со средними значениями стоимости проведения мероприятий, связанных с воспроизводством плодородия земель сельскохозяйственного назначения, на 2023 год, указанными в </w:t>
      </w:r>
      <w:hyperlink w:history="0" w:anchor="P96" w:tooltip="СРЕДНИЕ ЗНАЧЕНИЯ СТОИМОСТИ">
        <w:r>
          <w:rPr>
            <w:sz w:val="20"/>
            <w:color w:val="0000ff"/>
          </w:rPr>
          <w:t xml:space="preserve">приложении</w:t>
        </w:r>
      </w:hyperlink>
      <w:r>
        <w:rPr>
          <w:sz w:val="20"/>
        </w:rPr>
        <w:t xml:space="preserve"> к настоящему порядку (далее - средняя стоимость).</w:t>
      </w:r>
    </w:p>
    <w:p>
      <w:pPr>
        <w:pStyle w:val="0"/>
        <w:spacing w:before="200" w:line-rule="auto"/>
        <w:ind w:firstLine="540"/>
        <w:jc w:val="both"/>
      </w:pPr>
      <w:r>
        <w:rPr>
          <w:sz w:val="20"/>
        </w:rPr>
        <w:t xml:space="preserve">3. С 1 января 2024 г. определение стоимости проведения мероприятий осуществляется в соответствии со средней стоимостью, скорректированной с учетом прогноза индексов-дефляторов и индексов цен производителей по видам экономической деятельности.</w:t>
      </w:r>
    </w:p>
    <w:p>
      <w:pPr>
        <w:pStyle w:val="0"/>
        <w:spacing w:before="200" w:line-rule="auto"/>
        <w:ind w:firstLine="540"/>
        <w:jc w:val="both"/>
      </w:pPr>
      <w:r>
        <w:rPr>
          <w:sz w:val="20"/>
        </w:rPr>
        <w:t xml:space="preserve">4. Расчет стоимости проведения мероприятий (М) (тыс. руб.) осуществляется по следующей формуле:</w:t>
      </w:r>
    </w:p>
    <w:p>
      <w:pPr>
        <w:pStyle w:val="0"/>
        <w:jc w:val="both"/>
      </w:pPr>
      <w:r>
        <w:rPr>
          <w:sz w:val="20"/>
        </w:rPr>
      </w:r>
    </w:p>
    <w:p>
      <w:pPr>
        <w:pStyle w:val="0"/>
        <w:jc w:val="center"/>
      </w:pPr>
      <w:r>
        <w:rPr>
          <w:position w:val="-10"/>
        </w:rPr>
        <w:drawing>
          <wp:inline distT="0" distB="0" distL="0" distR="0">
            <wp:extent cx="26003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2600325" cy="25717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n</w:t>
      </w:r>
      <w:r>
        <w:rPr>
          <w:sz w:val="20"/>
        </w:rPr>
        <w:t xml:space="preserve"> - площадь земельного участка (части земельного участка) (га), в отношении которой необходимо проведение n-го мероприятия;</w:t>
      </w:r>
    </w:p>
    <w:p>
      <w:pPr>
        <w:pStyle w:val="0"/>
        <w:spacing w:before="200" w:line-rule="auto"/>
        <w:ind w:firstLine="540"/>
        <w:jc w:val="both"/>
      </w:pPr>
      <w:r>
        <w:rPr>
          <w:sz w:val="20"/>
        </w:rPr>
        <w:t xml:space="preserve">C</w:t>
      </w:r>
      <w:r>
        <w:rPr>
          <w:sz w:val="20"/>
          <w:vertAlign w:val="subscript"/>
        </w:rPr>
        <w:t xml:space="preserve">n</w:t>
      </w:r>
      <w:r>
        <w:rPr>
          <w:sz w:val="20"/>
        </w:rPr>
        <w:t xml:space="preserve"> - средняя стоимость проведения n-го мероприятия в расчете на 1 га (тыс. руб.);</w:t>
      </w:r>
    </w:p>
    <w:p>
      <w:pPr>
        <w:pStyle w:val="0"/>
        <w:spacing w:before="200" w:line-rule="auto"/>
        <w:ind w:firstLine="540"/>
        <w:jc w:val="both"/>
      </w:pPr>
      <w:r>
        <w:rPr>
          <w:sz w:val="20"/>
        </w:rPr>
        <w:t xml:space="preserve">n - следующие виды мероприятий: расчистка земель от древесной и травянистой растительности, расчистка земель от кочек, пней и мха, расчистка земель от камней и иных предметов, первичная обработка почвы;</w:t>
      </w:r>
    </w:p>
    <w:p>
      <w:pPr>
        <w:pStyle w:val="0"/>
        <w:spacing w:before="200" w:line-rule="auto"/>
        <w:ind w:firstLine="540"/>
        <w:jc w:val="both"/>
      </w:pPr>
      <w:r>
        <w:rPr>
          <w:sz w:val="20"/>
        </w:rPr>
        <w:t xml:space="preserve">S</w:t>
      </w:r>
      <w:r>
        <w:rPr>
          <w:sz w:val="20"/>
          <w:vertAlign w:val="subscript"/>
        </w:rPr>
        <w:t xml:space="preserve">j</w:t>
      </w:r>
      <w:r>
        <w:rPr>
          <w:sz w:val="20"/>
        </w:rPr>
        <w:t xml:space="preserve"> - площадь земельного участка (части земельного участка) (га), в отношении которой необходимо проведение j-го мероприятия;</w:t>
      </w:r>
    </w:p>
    <w:p>
      <w:pPr>
        <w:pStyle w:val="0"/>
        <w:spacing w:before="200" w:line-rule="auto"/>
        <w:ind w:firstLine="540"/>
        <w:jc w:val="both"/>
      </w:pPr>
      <w:r>
        <w:rPr>
          <w:sz w:val="20"/>
        </w:rPr>
        <w:t xml:space="preserve">C</w:t>
      </w:r>
      <w:r>
        <w:rPr>
          <w:sz w:val="20"/>
          <w:vertAlign w:val="subscript"/>
        </w:rPr>
        <w:t xml:space="preserve">j</w:t>
      </w:r>
      <w:r>
        <w:rPr>
          <w:sz w:val="20"/>
        </w:rPr>
        <w:t xml:space="preserve"> - средняя стоимость проведения j-го мероприятия (без учета стоимости агрохимиката) в расчете на 1 га (тыс. рублей);</w:t>
      </w:r>
    </w:p>
    <w:p>
      <w:pPr>
        <w:pStyle w:val="0"/>
        <w:spacing w:before="200" w:line-rule="auto"/>
        <w:ind w:firstLine="540"/>
        <w:jc w:val="both"/>
      </w:pPr>
      <w:r>
        <w:rPr>
          <w:sz w:val="20"/>
        </w:rPr>
        <w:t xml:space="preserve">Rax</w:t>
      </w:r>
      <w:r>
        <w:rPr>
          <w:sz w:val="20"/>
          <w:vertAlign w:val="subscript"/>
        </w:rPr>
        <w:t xml:space="preserve">j</w:t>
      </w:r>
      <w:r>
        <w:rPr>
          <w:sz w:val="20"/>
        </w:rPr>
        <w:t xml:space="preserve"> - норма (доза) внесения агрохимиката &lt;1&gt;, определяемая в соответствии с регламентом применения агрохимиката &lt;2&gt;, используемого при проведении j-го мероприятия в расчете на 1 га (т);</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2" w:tooltip="Федеральный закон от 19.07.1997 N 109-ФЗ (ред. от 18.03.2023) &quot;О безопасном обращении с пестицидами и агрохимикатами&quot; {КонсультантПлюс}">
        <w:r>
          <w:rPr>
            <w:sz w:val="20"/>
            <w:color w:val="0000ff"/>
          </w:rPr>
          <w:t xml:space="preserve">Абзац третий статьи 1</w:t>
        </w:r>
      </w:hyperlink>
      <w:r>
        <w:rPr>
          <w:sz w:val="20"/>
        </w:rPr>
        <w:t xml:space="preserve"> Федерального закона от 19 июля 1997 г. N 109-ФЗ "О безопасном обращении с пестицидами и агрохимикатами" (далее - Закон N 109-ФЗ).</w:t>
      </w:r>
    </w:p>
    <w:p>
      <w:pPr>
        <w:pStyle w:val="0"/>
        <w:spacing w:before="200" w:line-rule="auto"/>
        <w:ind w:firstLine="540"/>
        <w:jc w:val="both"/>
      </w:pPr>
      <w:r>
        <w:rPr>
          <w:sz w:val="20"/>
        </w:rPr>
        <w:t xml:space="preserve">&lt;2&gt; </w:t>
      </w:r>
      <w:hyperlink w:history="0" r:id="rId13" w:tooltip="Федеральный закон от 19.07.1997 N 109-ФЗ (ред. от 18.03.2023) &quot;О безопасном обращении с пестицидами и агрохимикатами&quot; {КонсультантПлюс}">
        <w:r>
          <w:rPr>
            <w:sz w:val="20"/>
            <w:color w:val="0000ff"/>
          </w:rPr>
          <w:t xml:space="preserve">Абзац седьмой статьи 1</w:t>
        </w:r>
      </w:hyperlink>
      <w:r>
        <w:rPr>
          <w:sz w:val="20"/>
        </w:rPr>
        <w:t xml:space="preserve"> Закона N 109-ФЗ.</w:t>
      </w:r>
    </w:p>
    <w:p>
      <w:pPr>
        <w:pStyle w:val="0"/>
        <w:jc w:val="both"/>
      </w:pPr>
      <w:r>
        <w:rPr>
          <w:sz w:val="20"/>
        </w:rPr>
      </w:r>
    </w:p>
    <w:p>
      <w:pPr>
        <w:pStyle w:val="0"/>
        <w:ind w:firstLine="540"/>
        <w:jc w:val="both"/>
      </w:pPr>
      <w:r>
        <w:rPr>
          <w:sz w:val="20"/>
        </w:rPr>
        <w:t xml:space="preserve">Cax</w:t>
      </w:r>
      <w:r>
        <w:rPr>
          <w:sz w:val="20"/>
          <w:vertAlign w:val="subscript"/>
        </w:rPr>
        <w:t xml:space="preserve">j</w:t>
      </w:r>
      <w:r>
        <w:rPr>
          <w:sz w:val="20"/>
        </w:rPr>
        <w:t xml:space="preserve"> - средняя стоимость одной тонны агрохимиката, необходимого для внесения при проведении j-го мероприятия (тыс. руб.), сложившаяся в субъекте Российской Федерации за год, предшествующий текущему финансовому году, по данным Федеральной службы государственной статистики. В случае отсутствия официальных данных Федеральной службы государственной статистики о средней стоимости на отдельные виды агрохимикатов, сложившейся в субъекте Российской Федерации за год, предшествующий текущему финансовому году, такая средняя стоимость определяется на основании данных, предоставляемых органом управления агропромышленным комплексом субъекта Российской Федерации по запросу уполномоченного органа исполнительной власти субъекта Российской Федерации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4" w:tooltip="Федеральный закон от 24.07.2002 N 101-ФЗ (ред. от 29.12.2022) &quot;Об обороте земель сельскохозяйственного назначения&quot; (с изм. и доп., вступ. в силу с 01.03.2023) {КонсультантПлюс}">
        <w:r>
          <w:rPr>
            <w:sz w:val="20"/>
            <w:color w:val="0000ff"/>
          </w:rPr>
          <w:t xml:space="preserve">Пункт 6 статьи 6</w:t>
        </w:r>
      </w:hyperlink>
      <w:r>
        <w:rPr>
          <w:sz w:val="20"/>
        </w:rPr>
        <w:t xml:space="preserve"> Федерального закона от 24 июля 2002 г. N 101-ФЗ "Об обороте земель сельскохозяйственного назначения".</w:t>
      </w:r>
    </w:p>
    <w:p>
      <w:pPr>
        <w:pStyle w:val="0"/>
        <w:jc w:val="both"/>
      </w:pPr>
      <w:r>
        <w:rPr>
          <w:sz w:val="20"/>
        </w:rPr>
      </w:r>
    </w:p>
    <w:p>
      <w:pPr>
        <w:pStyle w:val="0"/>
        <w:ind w:firstLine="540"/>
        <w:jc w:val="both"/>
      </w:pPr>
      <w:r>
        <w:rPr>
          <w:sz w:val="20"/>
        </w:rPr>
        <w:t xml:space="preserve">j - следующие виды мероприятий: известкование почв, фосфоритование почв, гипсование почв, внесение минеральных удобрений, внесение органических удобрений.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 определения стоимости</w:t>
      </w:r>
    </w:p>
    <w:p>
      <w:pPr>
        <w:pStyle w:val="0"/>
        <w:jc w:val="right"/>
      </w:pPr>
      <w:r>
        <w:rPr>
          <w:sz w:val="20"/>
        </w:rPr>
        <w:t xml:space="preserve">проведения мероприятий, связанных</w:t>
      </w:r>
    </w:p>
    <w:p>
      <w:pPr>
        <w:pStyle w:val="0"/>
        <w:jc w:val="right"/>
      </w:pPr>
      <w:r>
        <w:rPr>
          <w:sz w:val="20"/>
        </w:rPr>
        <w:t xml:space="preserve">с воспроизводством плодородия земель</w:t>
      </w:r>
    </w:p>
    <w:p>
      <w:pPr>
        <w:pStyle w:val="0"/>
        <w:jc w:val="right"/>
      </w:pPr>
      <w:r>
        <w:rPr>
          <w:sz w:val="20"/>
        </w:rPr>
        <w:t xml:space="preserve">сельскохозяйственного назначения</w:t>
      </w:r>
    </w:p>
    <w:p>
      <w:pPr>
        <w:pStyle w:val="0"/>
        <w:jc w:val="both"/>
      </w:pPr>
      <w:r>
        <w:rPr>
          <w:sz w:val="20"/>
        </w:rPr>
      </w:r>
    </w:p>
    <w:bookmarkStart w:id="96" w:name="P96"/>
    <w:bookmarkEnd w:id="96"/>
    <w:p>
      <w:pPr>
        <w:pStyle w:val="2"/>
        <w:jc w:val="center"/>
      </w:pPr>
      <w:r>
        <w:rPr>
          <w:sz w:val="20"/>
        </w:rPr>
        <w:t xml:space="preserve">СРЕДНИЕ ЗНАЧЕНИЯ СТОИМОСТИ</w:t>
      </w:r>
    </w:p>
    <w:p>
      <w:pPr>
        <w:pStyle w:val="2"/>
        <w:jc w:val="center"/>
      </w:pPr>
      <w:r>
        <w:rPr>
          <w:sz w:val="20"/>
        </w:rPr>
        <w:t xml:space="preserve">ПРОВЕДЕНИЯ МЕРОПРИЯТИЙ, СВЯЗАННЫХ С ВОСПРОИЗВОДСТВОМ</w:t>
      </w:r>
    </w:p>
    <w:p>
      <w:pPr>
        <w:pStyle w:val="2"/>
        <w:jc w:val="center"/>
      </w:pPr>
      <w:r>
        <w:rPr>
          <w:sz w:val="20"/>
        </w:rPr>
        <w:t xml:space="preserve">ПЛОДОРОДИЯ ЗЕМЕЛЬ СЕЛЬСКОХОЗЯЙСТВЕННОГО</w:t>
      </w:r>
    </w:p>
    <w:p>
      <w:pPr>
        <w:pStyle w:val="2"/>
        <w:jc w:val="center"/>
      </w:pPr>
      <w:r>
        <w:rPr>
          <w:sz w:val="20"/>
        </w:rPr>
        <w:t xml:space="preserve">НАЗНАЧЕНИЯ, НА 2023 ГОД</w:t>
      </w:r>
    </w:p>
    <w:p>
      <w:pPr>
        <w:pStyle w:val="0"/>
        <w:jc w:val="both"/>
      </w:pPr>
      <w:r>
        <w:rPr>
          <w:sz w:val="20"/>
        </w:rPr>
      </w:r>
    </w:p>
    <w:p>
      <w:pPr>
        <w:pStyle w:val="0"/>
        <w:jc w:val="right"/>
      </w:pPr>
      <w:r>
        <w:rPr>
          <w:sz w:val="20"/>
        </w:rPr>
        <w:t xml:space="preserve">(тыс. руб. за 1 га)</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1474"/>
        <w:gridCol w:w="1247"/>
        <w:gridCol w:w="1247"/>
        <w:gridCol w:w="1020"/>
        <w:gridCol w:w="1694"/>
        <w:gridCol w:w="1757"/>
        <w:gridCol w:w="1701"/>
        <w:gridCol w:w="1701"/>
        <w:gridCol w:w="1858"/>
      </w:tblGrid>
      <w:tr>
        <w:tc>
          <w:tcPr>
            <w:tcW w:w="2098" w:type="dxa"/>
            <w:vMerge w:val="restart"/>
          </w:tcPr>
          <w:p>
            <w:pPr>
              <w:pStyle w:val="0"/>
              <w:jc w:val="center"/>
            </w:pPr>
            <w:r>
              <w:rPr>
                <w:sz w:val="20"/>
              </w:rPr>
              <w:t xml:space="preserve">Наименование федерального округа</w:t>
            </w:r>
          </w:p>
        </w:tc>
        <w:tc>
          <w:tcPr>
            <w:gridSpan w:val="9"/>
            <w:tcW w:w="13699" w:type="dxa"/>
          </w:tcPr>
          <w:p>
            <w:pPr>
              <w:pStyle w:val="0"/>
              <w:jc w:val="center"/>
            </w:pPr>
            <w:r>
              <w:rPr>
                <w:sz w:val="20"/>
              </w:rPr>
              <w:t xml:space="preserve">Виды мероприятий, связанные с воспроизводством плодородия земель сельскохозяйственного назначения</w:t>
            </w:r>
          </w:p>
        </w:tc>
      </w:tr>
      <w:tr>
        <w:tc>
          <w:tcPr>
            <w:vMerge w:val="continue"/>
          </w:tcPr>
          <w:p/>
        </w:tc>
        <w:tc>
          <w:tcPr>
            <w:tcW w:w="1474" w:type="dxa"/>
          </w:tcPr>
          <w:p>
            <w:pPr>
              <w:pStyle w:val="0"/>
              <w:jc w:val="center"/>
            </w:pPr>
            <w:r>
              <w:rPr>
                <w:sz w:val="20"/>
              </w:rPr>
              <w:t xml:space="preserve">Расчистка земель от древесной и травянистой растительности</w:t>
            </w:r>
          </w:p>
        </w:tc>
        <w:tc>
          <w:tcPr>
            <w:tcW w:w="1247" w:type="dxa"/>
          </w:tcPr>
          <w:p>
            <w:pPr>
              <w:pStyle w:val="0"/>
              <w:jc w:val="center"/>
            </w:pPr>
            <w:r>
              <w:rPr>
                <w:sz w:val="20"/>
              </w:rPr>
              <w:t xml:space="preserve">Расчистка земель от кочек, пней и мха</w:t>
            </w:r>
          </w:p>
        </w:tc>
        <w:tc>
          <w:tcPr>
            <w:tcW w:w="1247" w:type="dxa"/>
          </w:tcPr>
          <w:p>
            <w:pPr>
              <w:pStyle w:val="0"/>
              <w:jc w:val="center"/>
            </w:pPr>
            <w:r>
              <w:rPr>
                <w:sz w:val="20"/>
              </w:rPr>
              <w:t xml:space="preserve">Расчистка земель от камней и иных предметов</w:t>
            </w:r>
          </w:p>
        </w:tc>
        <w:tc>
          <w:tcPr>
            <w:tcW w:w="1020" w:type="dxa"/>
          </w:tcPr>
          <w:p>
            <w:pPr>
              <w:pStyle w:val="0"/>
              <w:jc w:val="center"/>
            </w:pPr>
            <w:r>
              <w:rPr>
                <w:sz w:val="20"/>
              </w:rPr>
              <w:t xml:space="preserve">Первичная обработка почвы</w:t>
            </w:r>
          </w:p>
        </w:tc>
        <w:tc>
          <w:tcPr>
            <w:tcW w:w="1694" w:type="dxa"/>
          </w:tcPr>
          <w:p>
            <w:pPr>
              <w:pStyle w:val="0"/>
              <w:jc w:val="center"/>
            </w:pPr>
            <w:r>
              <w:rPr>
                <w:sz w:val="20"/>
              </w:rPr>
              <w:t xml:space="preserve">Известкование почв (без учета стоимости агрохимиката)</w:t>
            </w:r>
          </w:p>
        </w:tc>
        <w:tc>
          <w:tcPr>
            <w:tcW w:w="1757" w:type="dxa"/>
          </w:tcPr>
          <w:p>
            <w:pPr>
              <w:pStyle w:val="0"/>
              <w:jc w:val="center"/>
            </w:pPr>
            <w:r>
              <w:rPr>
                <w:sz w:val="20"/>
              </w:rPr>
              <w:t xml:space="preserve">Фосфоритование почв</w:t>
            </w:r>
          </w:p>
          <w:p>
            <w:pPr>
              <w:pStyle w:val="0"/>
              <w:jc w:val="center"/>
            </w:pPr>
            <w:r>
              <w:rPr>
                <w:sz w:val="20"/>
              </w:rPr>
              <w:t xml:space="preserve">(без учета стоимости агрохимиката)</w:t>
            </w:r>
          </w:p>
        </w:tc>
        <w:tc>
          <w:tcPr>
            <w:tcW w:w="1701" w:type="dxa"/>
          </w:tcPr>
          <w:p>
            <w:pPr>
              <w:pStyle w:val="0"/>
              <w:jc w:val="center"/>
            </w:pPr>
            <w:r>
              <w:rPr>
                <w:sz w:val="20"/>
              </w:rPr>
              <w:t xml:space="preserve">Гипсование почв</w:t>
            </w:r>
          </w:p>
          <w:p>
            <w:pPr>
              <w:pStyle w:val="0"/>
              <w:jc w:val="center"/>
            </w:pPr>
            <w:r>
              <w:rPr>
                <w:sz w:val="20"/>
              </w:rPr>
              <w:t xml:space="preserve">(без учета стоимости агрохимиката)</w:t>
            </w:r>
          </w:p>
        </w:tc>
        <w:tc>
          <w:tcPr>
            <w:tcW w:w="1701" w:type="dxa"/>
          </w:tcPr>
          <w:p>
            <w:pPr>
              <w:pStyle w:val="0"/>
              <w:jc w:val="center"/>
            </w:pPr>
            <w:r>
              <w:rPr>
                <w:sz w:val="20"/>
              </w:rPr>
              <w:t xml:space="preserve">Внесение минеральных удобрений</w:t>
            </w:r>
          </w:p>
          <w:p>
            <w:pPr>
              <w:pStyle w:val="0"/>
              <w:jc w:val="center"/>
            </w:pPr>
            <w:r>
              <w:rPr>
                <w:sz w:val="20"/>
              </w:rPr>
              <w:t xml:space="preserve">(без учета стоимости агрохимиката)</w:t>
            </w:r>
          </w:p>
        </w:tc>
        <w:tc>
          <w:tcPr>
            <w:tcW w:w="1858" w:type="dxa"/>
          </w:tcPr>
          <w:p>
            <w:pPr>
              <w:pStyle w:val="0"/>
              <w:jc w:val="center"/>
            </w:pPr>
            <w:r>
              <w:rPr>
                <w:sz w:val="20"/>
              </w:rPr>
              <w:t xml:space="preserve">Внесение органических удобрений</w:t>
            </w:r>
          </w:p>
          <w:p>
            <w:pPr>
              <w:pStyle w:val="0"/>
              <w:jc w:val="center"/>
            </w:pPr>
            <w:r>
              <w:rPr>
                <w:sz w:val="20"/>
              </w:rPr>
              <w:t xml:space="preserve">(без учета стоимости агрохимиката)</w:t>
            </w:r>
          </w:p>
        </w:tc>
      </w:tr>
      <w:tr>
        <w:tc>
          <w:tcPr>
            <w:tcW w:w="2098" w:type="dxa"/>
          </w:tcPr>
          <w:p>
            <w:pPr>
              <w:pStyle w:val="0"/>
              <w:jc w:val="center"/>
            </w:pPr>
            <w:r>
              <w:rPr>
                <w:sz w:val="20"/>
              </w:rPr>
              <w:t xml:space="preserve">Северо-Западный федеральный округ</w:t>
            </w:r>
          </w:p>
        </w:tc>
        <w:tc>
          <w:tcPr>
            <w:tcW w:w="1474" w:type="dxa"/>
          </w:tcPr>
          <w:p>
            <w:pPr>
              <w:pStyle w:val="0"/>
              <w:jc w:val="center"/>
            </w:pPr>
            <w:r>
              <w:rPr>
                <w:sz w:val="20"/>
              </w:rPr>
              <w:t xml:space="preserve">66,45</w:t>
            </w:r>
          </w:p>
        </w:tc>
        <w:tc>
          <w:tcPr>
            <w:tcW w:w="1247" w:type="dxa"/>
          </w:tcPr>
          <w:p>
            <w:pPr>
              <w:pStyle w:val="0"/>
              <w:jc w:val="center"/>
            </w:pPr>
            <w:r>
              <w:rPr>
                <w:sz w:val="20"/>
              </w:rPr>
              <w:t xml:space="preserve">21,59</w:t>
            </w:r>
          </w:p>
        </w:tc>
        <w:tc>
          <w:tcPr>
            <w:tcW w:w="1247" w:type="dxa"/>
          </w:tcPr>
          <w:p>
            <w:pPr>
              <w:pStyle w:val="0"/>
              <w:jc w:val="center"/>
            </w:pPr>
            <w:r>
              <w:rPr>
                <w:sz w:val="20"/>
              </w:rPr>
              <w:t xml:space="preserve">5,78</w:t>
            </w:r>
          </w:p>
        </w:tc>
        <w:tc>
          <w:tcPr>
            <w:tcW w:w="1020" w:type="dxa"/>
          </w:tcPr>
          <w:p>
            <w:pPr>
              <w:pStyle w:val="0"/>
              <w:jc w:val="center"/>
            </w:pPr>
            <w:r>
              <w:rPr>
                <w:sz w:val="20"/>
              </w:rPr>
              <w:t xml:space="preserve">5,81</w:t>
            </w:r>
          </w:p>
        </w:tc>
        <w:tc>
          <w:tcPr>
            <w:tcW w:w="1694" w:type="dxa"/>
          </w:tcPr>
          <w:p>
            <w:pPr>
              <w:pStyle w:val="0"/>
              <w:jc w:val="center"/>
            </w:pPr>
            <w:r>
              <w:rPr>
                <w:sz w:val="20"/>
              </w:rPr>
              <w:t xml:space="preserve">8,8</w:t>
            </w:r>
          </w:p>
        </w:tc>
        <w:tc>
          <w:tcPr>
            <w:tcW w:w="1757" w:type="dxa"/>
          </w:tcPr>
          <w:p>
            <w:pPr>
              <w:pStyle w:val="0"/>
              <w:jc w:val="center"/>
            </w:pPr>
            <w:r>
              <w:rPr>
                <w:sz w:val="20"/>
              </w:rPr>
              <w:t xml:space="preserve">7,8</w:t>
            </w:r>
          </w:p>
        </w:tc>
        <w:tc>
          <w:tcPr>
            <w:tcW w:w="1701" w:type="dxa"/>
          </w:tcPr>
          <w:p>
            <w:pPr>
              <w:pStyle w:val="0"/>
              <w:jc w:val="center"/>
            </w:pPr>
            <w:r>
              <w:rPr>
                <w:sz w:val="20"/>
              </w:rPr>
              <w:t xml:space="preserve">-</w:t>
            </w:r>
          </w:p>
        </w:tc>
        <w:tc>
          <w:tcPr>
            <w:tcW w:w="1701" w:type="dxa"/>
          </w:tcPr>
          <w:p>
            <w:pPr>
              <w:pStyle w:val="0"/>
              <w:jc w:val="center"/>
            </w:pPr>
            <w:r>
              <w:rPr>
                <w:sz w:val="20"/>
              </w:rPr>
              <w:t xml:space="preserve">4,2</w:t>
            </w:r>
          </w:p>
        </w:tc>
        <w:tc>
          <w:tcPr>
            <w:tcW w:w="1858" w:type="dxa"/>
          </w:tcPr>
          <w:p>
            <w:pPr>
              <w:pStyle w:val="0"/>
              <w:jc w:val="center"/>
            </w:pPr>
            <w:r>
              <w:rPr>
                <w:sz w:val="20"/>
              </w:rPr>
              <w:t xml:space="preserve">11,9</w:t>
            </w:r>
          </w:p>
        </w:tc>
      </w:tr>
      <w:tr>
        <w:tc>
          <w:tcPr>
            <w:tcW w:w="2098" w:type="dxa"/>
          </w:tcPr>
          <w:p>
            <w:pPr>
              <w:pStyle w:val="0"/>
              <w:jc w:val="center"/>
            </w:pPr>
            <w:r>
              <w:rPr>
                <w:sz w:val="20"/>
              </w:rPr>
              <w:t xml:space="preserve">Центральный федеральный округ</w:t>
            </w:r>
          </w:p>
        </w:tc>
        <w:tc>
          <w:tcPr>
            <w:tcW w:w="1474" w:type="dxa"/>
          </w:tcPr>
          <w:p>
            <w:pPr>
              <w:pStyle w:val="0"/>
              <w:jc w:val="center"/>
            </w:pPr>
            <w:r>
              <w:rPr>
                <w:sz w:val="20"/>
              </w:rPr>
              <w:t xml:space="preserve">57,54</w:t>
            </w:r>
          </w:p>
        </w:tc>
        <w:tc>
          <w:tcPr>
            <w:tcW w:w="1247" w:type="dxa"/>
          </w:tcPr>
          <w:p>
            <w:pPr>
              <w:pStyle w:val="0"/>
              <w:jc w:val="center"/>
            </w:pPr>
            <w:r>
              <w:rPr>
                <w:sz w:val="20"/>
              </w:rPr>
              <w:t xml:space="preserve">18,7</w:t>
            </w:r>
          </w:p>
        </w:tc>
        <w:tc>
          <w:tcPr>
            <w:tcW w:w="1247" w:type="dxa"/>
          </w:tcPr>
          <w:p>
            <w:pPr>
              <w:pStyle w:val="0"/>
              <w:jc w:val="center"/>
            </w:pPr>
            <w:r>
              <w:rPr>
                <w:sz w:val="20"/>
              </w:rPr>
              <w:t xml:space="preserve">5,39</w:t>
            </w:r>
          </w:p>
        </w:tc>
        <w:tc>
          <w:tcPr>
            <w:tcW w:w="1020" w:type="dxa"/>
          </w:tcPr>
          <w:p>
            <w:pPr>
              <w:pStyle w:val="0"/>
              <w:jc w:val="center"/>
            </w:pPr>
            <w:r>
              <w:rPr>
                <w:sz w:val="20"/>
              </w:rPr>
              <w:t xml:space="preserve">4,14</w:t>
            </w:r>
          </w:p>
        </w:tc>
        <w:tc>
          <w:tcPr>
            <w:tcW w:w="1694" w:type="dxa"/>
          </w:tcPr>
          <w:p>
            <w:pPr>
              <w:pStyle w:val="0"/>
              <w:jc w:val="center"/>
            </w:pPr>
            <w:r>
              <w:rPr>
                <w:sz w:val="20"/>
              </w:rPr>
              <w:t xml:space="preserve">7,9</w:t>
            </w:r>
          </w:p>
        </w:tc>
        <w:tc>
          <w:tcPr>
            <w:tcW w:w="1757" w:type="dxa"/>
          </w:tcPr>
          <w:p>
            <w:pPr>
              <w:pStyle w:val="0"/>
              <w:jc w:val="center"/>
            </w:pPr>
            <w:r>
              <w:rPr>
                <w:sz w:val="20"/>
              </w:rPr>
              <w:t xml:space="preserve">5,1</w:t>
            </w:r>
          </w:p>
        </w:tc>
        <w:tc>
          <w:tcPr>
            <w:tcW w:w="1701" w:type="dxa"/>
          </w:tcPr>
          <w:p>
            <w:pPr>
              <w:pStyle w:val="0"/>
              <w:jc w:val="center"/>
            </w:pPr>
            <w:r>
              <w:rPr>
                <w:sz w:val="20"/>
              </w:rPr>
              <w:t xml:space="preserve">-</w:t>
            </w:r>
          </w:p>
        </w:tc>
        <w:tc>
          <w:tcPr>
            <w:tcW w:w="1701" w:type="dxa"/>
          </w:tcPr>
          <w:p>
            <w:pPr>
              <w:pStyle w:val="0"/>
              <w:jc w:val="center"/>
            </w:pPr>
            <w:r>
              <w:rPr>
                <w:sz w:val="20"/>
              </w:rPr>
              <w:t xml:space="preserve">4,0</w:t>
            </w:r>
          </w:p>
        </w:tc>
        <w:tc>
          <w:tcPr>
            <w:tcW w:w="1858" w:type="dxa"/>
          </w:tcPr>
          <w:p>
            <w:pPr>
              <w:pStyle w:val="0"/>
              <w:jc w:val="center"/>
            </w:pPr>
            <w:r>
              <w:rPr>
                <w:sz w:val="20"/>
              </w:rPr>
              <w:t xml:space="preserve">8,2</w:t>
            </w:r>
          </w:p>
        </w:tc>
      </w:tr>
      <w:tr>
        <w:tc>
          <w:tcPr>
            <w:tcW w:w="2098" w:type="dxa"/>
          </w:tcPr>
          <w:p>
            <w:pPr>
              <w:pStyle w:val="0"/>
              <w:jc w:val="center"/>
            </w:pPr>
            <w:r>
              <w:rPr>
                <w:sz w:val="20"/>
              </w:rPr>
              <w:t xml:space="preserve">Приволжский федеральный округ</w:t>
            </w:r>
          </w:p>
        </w:tc>
        <w:tc>
          <w:tcPr>
            <w:tcW w:w="1474" w:type="dxa"/>
          </w:tcPr>
          <w:p>
            <w:pPr>
              <w:pStyle w:val="0"/>
              <w:jc w:val="center"/>
            </w:pPr>
            <w:r>
              <w:rPr>
                <w:sz w:val="20"/>
              </w:rPr>
              <w:t xml:space="preserve">56,91</w:t>
            </w:r>
          </w:p>
        </w:tc>
        <w:tc>
          <w:tcPr>
            <w:tcW w:w="1247" w:type="dxa"/>
          </w:tcPr>
          <w:p>
            <w:pPr>
              <w:pStyle w:val="0"/>
              <w:jc w:val="center"/>
            </w:pPr>
            <w:r>
              <w:rPr>
                <w:sz w:val="20"/>
              </w:rPr>
              <w:t xml:space="preserve">18,49</w:t>
            </w:r>
          </w:p>
        </w:tc>
        <w:tc>
          <w:tcPr>
            <w:tcW w:w="1247" w:type="dxa"/>
          </w:tcPr>
          <w:p>
            <w:pPr>
              <w:pStyle w:val="0"/>
              <w:jc w:val="center"/>
            </w:pPr>
            <w:r>
              <w:rPr>
                <w:sz w:val="20"/>
              </w:rPr>
              <w:t xml:space="preserve">4,95</w:t>
            </w:r>
          </w:p>
        </w:tc>
        <w:tc>
          <w:tcPr>
            <w:tcW w:w="1020" w:type="dxa"/>
          </w:tcPr>
          <w:p>
            <w:pPr>
              <w:pStyle w:val="0"/>
              <w:jc w:val="center"/>
            </w:pPr>
            <w:r>
              <w:rPr>
                <w:sz w:val="20"/>
              </w:rPr>
              <w:t xml:space="preserve">4,98</w:t>
            </w:r>
          </w:p>
        </w:tc>
        <w:tc>
          <w:tcPr>
            <w:tcW w:w="1694" w:type="dxa"/>
          </w:tcPr>
          <w:p>
            <w:pPr>
              <w:pStyle w:val="0"/>
              <w:jc w:val="center"/>
            </w:pPr>
            <w:r>
              <w:rPr>
                <w:sz w:val="20"/>
              </w:rPr>
              <w:t xml:space="preserve">8,1</w:t>
            </w:r>
          </w:p>
        </w:tc>
        <w:tc>
          <w:tcPr>
            <w:tcW w:w="1757" w:type="dxa"/>
          </w:tcPr>
          <w:p>
            <w:pPr>
              <w:pStyle w:val="0"/>
              <w:jc w:val="center"/>
            </w:pPr>
            <w:r>
              <w:rPr>
                <w:sz w:val="20"/>
              </w:rPr>
              <w:t xml:space="preserve">6,0</w:t>
            </w:r>
          </w:p>
        </w:tc>
        <w:tc>
          <w:tcPr>
            <w:tcW w:w="1701" w:type="dxa"/>
          </w:tcPr>
          <w:p>
            <w:pPr>
              <w:pStyle w:val="0"/>
              <w:jc w:val="center"/>
            </w:pPr>
            <w:r>
              <w:rPr>
                <w:sz w:val="20"/>
              </w:rPr>
              <w:t xml:space="preserve">10,8</w:t>
            </w:r>
          </w:p>
        </w:tc>
        <w:tc>
          <w:tcPr>
            <w:tcW w:w="1701" w:type="dxa"/>
          </w:tcPr>
          <w:p>
            <w:pPr>
              <w:pStyle w:val="0"/>
              <w:jc w:val="center"/>
            </w:pPr>
            <w:r>
              <w:rPr>
                <w:sz w:val="20"/>
              </w:rPr>
              <w:t xml:space="preserve">3,3</w:t>
            </w:r>
          </w:p>
        </w:tc>
        <w:tc>
          <w:tcPr>
            <w:tcW w:w="1858" w:type="dxa"/>
          </w:tcPr>
          <w:p>
            <w:pPr>
              <w:pStyle w:val="0"/>
              <w:jc w:val="center"/>
            </w:pPr>
            <w:r>
              <w:rPr>
                <w:sz w:val="20"/>
              </w:rPr>
              <w:t xml:space="preserve">14,9</w:t>
            </w:r>
          </w:p>
        </w:tc>
      </w:tr>
      <w:tr>
        <w:tc>
          <w:tcPr>
            <w:tcW w:w="2098" w:type="dxa"/>
          </w:tcPr>
          <w:p>
            <w:pPr>
              <w:pStyle w:val="0"/>
              <w:jc w:val="center"/>
            </w:pPr>
            <w:r>
              <w:rPr>
                <w:sz w:val="20"/>
              </w:rPr>
              <w:t xml:space="preserve">Северо- Кавказский федеральный округ</w:t>
            </w:r>
          </w:p>
        </w:tc>
        <w:tc>
          <w:tcPr>
            <w:tcW w:w="1474" w:type="dxa"/>
          </w:tcPr>
          <w:p>
            <w:pPr>
              <w:pStyle w:val="0"/>
              <w:jc w:val="center"/>
            </w:pPr>
            <w:r>
              <w:rPr>
                <w:sz w:val="20"/>
              </w:rPr>
              <w:t xml:space="preserve">52,17</w:t>
            </w:r>
          </w:p>
        </w:tc>
        <w:tc>
          <w:tcPr>
            <w:tcW w:w="1247" w:type="dxa"/>
          </w:tcPr>
          <w:p>
            <w:pPr>
              <w:pStyle w:val="0"/>
              <w:jc w:val="center"/>
            </w:pPr>
            <w:r>
              <w:rPr>
                <w:sz w:val="20"/>
              </w:rPr>
              <w:t xml:space="preserve">16,95</w:t>
            </w:r>
          </w:p>
        </w:tc>
        <w:tc>
          <w:tcPr>
            <w:tcW w:w="1247" w:type="dxa"/>
          </w:tcPr>
          <w:p>
            <w:pPr>
              <w:pStyle w:val="0"/>
              <w:jc w:val="center"/>
            </w:pPr>
            <w:r>
              <w:rPr>
                <w:sz w:val="20"/>
              </w:rPr>
              <w:t xml:space="preserve">4,54</w:t>
            </w:r>
          </w:p>
        </w:tc>
        <w:tc>
          <w:tcPr>
            <w:tcW w:w="1020" w:type="dxa"/>
          </w:tcPr>
          <w:p>
            <w:pPr>
              <w:pStyle w:val="0"/>
              <w:jc w:val="center"/>
            </w:pPr>
            <w:r>
              <w:rPr>
                <w:sz w:val="20"/>
              </w:rPr>
              <w:t xml:space="preserve">4,54</w:t>
            </w:r>
          </w:p>
        </w:tc>
        <w:tc>
          <w:tcPr>
            <w:tcW w:w="1694" w:type="dxa"/>
          </w:tcPr>
          <w:p>
            <w:pPr>
              <w:pStyle w:val="0"/>
              <w:jc w:val="center"/>
            </w:pPr>
            <w:r>
              <w:rPr>
                <w:sz w:val="20"/>
              </w:rPr>
              <w:t xml:space="preserve">8,3</w:t>
            </w:r>
          </w:p>
        </w:tc>
        <w:tc>
          <w:tcPr>
            <w:tcW w:w="1757" w:type="dxa"/>
          </w:tcPr>
          <w:p>
            <w:pPr>
              <w:pStyle w:val="0"/>
              <w:jc w:val="center"/>
            </w:pPr>
            <w:r>
              <w:rPr>
                <w:sz w:val="20"/>
              </w:rPr>
              <w:t xml:space="preserve">6,3</w:t>
            </w:r>
          </w:p>
        </w:tc>
        <w:tc>
          <w:tcPr>
            <w:tcW w:w="1701" w:type="dxa"/>
          </w:tcPr>
          <w:p>
            <w:pPr>
              <w:pStyle w:val="0"/>
              <w:jc w:val="center"/>
            </w:pPr>
            <w:r>
              <w:rPr>
                <w:sz w:val="20"/>
              </w:rPr>
              <w:t xml:space="preserve">14,5</w:t>
            </w:r>
          </w:p>
        </w:tc>
        <w:tc>
          <w:tcPr>
            <w:tcW w:w="1701" w:type="dxa"/>
          </w:tcPr>
          <w:p>
            <w:pPr>
              <w:pStyle w:val="0"/>
              <w:jc w:val="center"/>
            </w:pPr>
            <w:r>
              <w:rPr>
                <w:sz w:val="20"/>
              </w:rPr>
              <w:t xml:space="preserve">4,3</w:t>
            </w:r>
          </w:p>
        </w:tc>
        <w:tc>
          <w:tcPr>
            <w:tcW w:w="1858" w:type="dxa"/>
          </w:tcPr>
          <w:p>
            <w:pPr>
              <w:pStyle w:val="0"/>
              <w:jc w:val="center"/>
            </w:pPr>
            <w:r>
              <w:rPr>
                <w:sz w:val="20"/>
              </w:rPr>
              <w:t xml:space="preserve">10,1</w:t>
            </w:r>
          </w:p>
        </w:tc>
      </w:tr>
      <w:tr>
        <w:tc>
          <w:tcPr>
            <w:tcW w:w="2098" w:type="dxa"/>
          </w:tcPr>
          <w:p>
            <w:pPr>
              <w:pStyle w:val="0"/>
              <w:jc w:val="center"/>
            </w:pPr>
            <w:r>
              <w:rPr>
                <w:sz w:val="20"/>
              </w:rPr>
              <w:t xml:space="preserve">Южный федеральный округ</w:t>
            </w:r>
          </w:p>
        </w:tc>
        <w:tc>
          <w:tcPr>
            <w:tcW w:w="1474" w:type="dxa"/>
          </w:tcPr>
          <w:p>
            <w:pPr>
              <w:pStyle w:val="0"/>
              <w:jc w:val="center"/>
            </w:pPr>
            <w:r>
              <w:rPr>
                <w:sz w:val="20"/>
              </w:rPr>
              <w:t xml:space="preserve">58,4</w:t>
            </w:r>
          </w:p>
        </w:tc>
        <w:tc>
          <w:tcPr>
            <w:tcW w:w="1247" w:type="dxa"/>
          </w:tcPr>
          <w:p>
            <w:pPr>
              <w:pStyle w:val="0"/>
              <w:jc w:val="center"/>
            </w:pPr>
            <w:r>
              <w:rPr>
                <w:sz w:val="20"/>
              </w:rPr>
              <w:t xml:space="preserve">18,97</w:t>
            </w:r>
          </w:p>
        </w:tc>
        <w:tc>
          <w:tcPr>
            <w:tcW w:w="1247" w:type="dxa"/>
          </w:tcPr>
          <w:p>
            <w:pPr>
              <w:pStyle w:val="0"/>
              <w:jc w:val="center"/>
            </w:pPr>
            <w:r>
              <w:rPr>
                <w:sz w:val="20"/>
              </w:rPr>
              <w:t xml:space="preserve">5,08</w:t>
            </w:r>
          </w:p>
        </w:tc>
        <w:tc>
          <w:tcPr>
            <w:tcW w:w="1020" w:type="dxa"/>
          </w:tcPr>
          <w:p>
            <w:pPr>
              <w:pStyle w:val="0"/>
              <w:jc w:val="center"/>
            </w:pPr>
            <w:r>
              <w:rPr>
                <w:sz w:val="20"/>
              </w:rPr>
              <w:t xml:space="preserve">5,11</w:t>
            </w:r>
          </w:p>
        </w:tc>
        <w:tc>
          <w:tcPr>
            <w:tcW w:w="1694" w:type="dxa"/>
          </w:tcPr>
          <w:p>
            <w:pPr>
              <w:pStyle w:val="0"/>
              <w:jc w:val="center"/>
            </w:pPr>
            <w:r>
              <w:rPr>
                <w:sz w:val="20"/>
              </w:rPr>
              <w:t xml:space="preserve">16,2</w:t>
            </w:r>
          </w:p>
        </w:tc>
        <w:tc>
          <w:tcPr>
            <w:tcW w:w="1757" w:type="dxa"/>
          </w:tcPr>
          <w:p>
            <w:pPr>
              <w:pStyle w:val="0"/>
              <w:jc w:val="center"/>
            </w:pPr>
            <w:r>
              <w:rPr>
                <w:sz w:val="20"/>
              </w:rPr>
              <w:t xml:space="preserve">-</w:t>
            </w:r>
          </w:p>
        </w:tc>
        <w:tc>
          <w:tcPr>
            <w:tcW w:w="1701" w:type="dxa"/>
          </w:tcPr>
          <w:p>
            <w:pPr>
              <w:pStyle w:val="0"/>
              <w:jc w:val="center"/>
            </w:pPr>
            <w:r>
              <w:rPr>
                <w:sz w:val="20"/>
              </w:rPr>
              <w:t xml:space="preserve">14,8</w:t>
            </w:r>
          </w:p>
        </w:tc>
        <w:tc>
          <w:tcPr>
            <w:tcW w:w="1701" w:type="dxa"/>
          </w:tcPr>
          <w:p>
            <w:pPr>
              <w:pStyle w:val="0"/>
              <w:jc w:val="center"/>
            </w:pPr>
            <w:r>
              <w:rPr>
                <w:sz w:val="20"/>
              </w:rPr>
              <w:t xml:space="preserve">4,9</w:t>
            </w:r>
          </w:p>
        </w:tc>
        <w:tc>
          <w:tcPr>
            <w:tcW w:w="1858" w:type="dxa"/>
          </w:tcPr>
          <w:p>
            <w:pPr>
              <w:pStyle w:val="0"/>
              <w:jc w:val="center"/>
            </w:pPr>
            <w:r>
              <w:rPr>
                <w:sz w:val="20"/>
              </w:rPr>
              <w:t xml:space="preserve">13,1</w:t>
            </w:r>
          </w:p>
        </w:tc>
      </w:tr>
      <w:tr>
        <w:tc>
          <w:tcPr>
            <w:tcW w:w="2098" w:type="dxa"/>
          </w:tcPr>
          <w:p>
            <w:pPr>
              <w:pStyle w:val="0"/>
              <w:jc w:val="center"/>
            </w:pPr>
            <w:r>
              <w:rPr>
                <w:sz w:val="20"/>
              </w:rPr>
              <w:t xml:space="preserve">Уральский федеральный округ</w:t>
            </w:r>
          </w:p>
        </w:tc>
        <w:tc>
          <w:tcPr>
            <w:tcW w:w="1474" w:type="dxa"/>
          </w:tcPr>
          <w:p>
            <w:pPr>
              <w:pStyle w:val="0"/>
              <w:jc w:val="center"/>
            </w:pPr>
            <w:r>
              <w:rPr>
                <w:sz w:val="20"/>
              </w:rPr>
              <w:t xml:space="preserve">68,59</w:t>
            </w:r>
          </w:p>
        </w:tc>
        <w:tc>
          <w:tcPr>
            <w:tcW w:w="1247" w:type="dxa"/>
          </w:tcPr>
          <w:p>
            <w:pPr>
              <w:pStyle w:val="0"/>
              <w:jc w:val="center"/>
            </w:pPr>
            <w:r>
              <w:rPr>
                <w:sz w:val="20"/>
              </w:rPr>
              <w:t xml:space="preserve">22,29</w:t>
            </w:r>
          </w:p>
        </w:tc>
        <w:tc>
          <w:tcPr>
            <w:tcW w:w="1247" w:type="dxa"/>
          </w:tcPr>
          <w:p>
            <w:pPr>
              <w:pStyle w:val="0"/>
              <w:jc w:val="center"/>
            </w:pPr>
            <w:r>
              <w:rPr>
                <w:sz w:val="20"/>
              </w:rPr>
              <w:t xml:space="preserve">5,97</w:t>
            </w:r>
          </w:p>
        </w:tc>
        <w:tc>
          <w:tcPr>
            <w:tcW w:w="1020" w:type="dxa"/>
          </w:tcPr>
          <w:p>
            <w:pPr>
              <w:pStyle w:val="0"/>
              <w:jc w:val="center"/>
            </w:pPr>
            <w:r>
              <w:rPr>
                <w:sz w:val="20"/>
              </w:rPr>
              <w:t xml:space="preserve">6,00</w:t>
            </w:r>
          </w:p>
        </w:tc>
        <w:tc>
          <w:tcPr>
            <w:tcW w:w="1694" w:type="dxa"/>
          </w:tcPr>
          <w:p>
            <w:pPr>
              <w:pStyle w:val="0"/>
              <w:jc w:val="center"/>
            </w:pPr>
            <w:r>
              <w:rPr>
                <w:sz w:val="20"/>
              </w:rPr>
              <w:t xml:space="preserve">14,9</w:t>
            </w:r>
          </w:p>
        </w:tc>
        <w:tc>
          <w:tcPr>
            <w:tcW w:w="1757" w:type="dxa"/>
          </w:tcPr>
          <w:p>
            <w:pPr>
              <w:pStyle w:val="0"/>
              <w:jc w:val="center"/>
            </w:pPr>
            <w:r>
              <w:rPr>
                <w:sz w:val="20"/>
              </w:rPr>
              <w:t xml:space="preserve">12,2</w:t>
            </w:r>
          </w:p>
        </w:tc>
        <w:tc>
          <w:tcPr>
            <w:tcW w:w="1701" w:type="dxa"/>
          </w:tcPr>
          <w:p>
            <w:pPr>
              <w:pStyle w:val="0"/>
              <w:jc w:val="center"/>
            </w:pPr>
            <w:r>
              <w:rPr>
                <w:sz w:val="20"/>
              </w:rPr>
              <w:t xml:space="preserve">15,0</w:t>
            </w:r>
          </w:p>
        </w:tc>
        <w:tc>
          <w:tcPr>
            <w:tcW w:w="1701" w:type="dxa"/>
          </w:tcPr>
          <w:p>
            <w:pPr>
              <w:pStyle w:val="0"/>
              <w:jc w:val="center"/>
            </w:pPr>
            <w:r>
              <w:rPr>
                <w:sz w:val="20"/>
              </w:rPr>
              <w:t xml:space="preserve">4,7</w:t>
            </w:r>
          </w:p>
        </w:tc>
        <w:tc>
          <w:tcPr>
            <w:tcW w:w="1858" w:type="dxa"/>
          </w:tcPr>
          <w:p>
            <w:pPr>
              <w:pStyle w:val="0"/>
              <w:jc w:val="center"/>
            </w:pPr>
            <w:r>
              <w:rPr>
                <w:sz w:val="20"/>
              </w:rPr>
              <w:t xml:space="preserve">16,8</w:t>
            </w:r>
          </w:p>
        </w:tc>
      </w:tr>
      <w:tr>
        <w:tc>
          <w:tcPr>
            <w:tcW w:w="2098" w:type="dxa"/>
          </w:tcPr>
          <w:p>
            <w:pPr>
              <w:pStyle w:val="0"/>
              <w:jc w:val="center"/>
            </w:pPr>
            <w:r>
              <w:rPr>
                <w:sz w:val="20"/>
              </w:rPr>
              <w:t xml:space="preserve">Сибирский федеральный округ</w:t>
            </w:r>
          </w:p>
        </w:tc>
        <w:tc>
          <w:tcPr>
            <w:tcW w:w="1474" w:type="dxa"/>
          </w:tcPr>
          <w:p>
            <w:pPr>
              <w:pStyle w:val="0"/>
              <w:jc w:val="center"/>
            </w:pPr>
            <w:r>
              <w:rPr>
                <w:sz w:val="20"/>
              </w:rPr>
              <w:t xml:space="preserve">68,08</w:t>
            </w:r>
          </w:p>
        </w:tc>
        <w:tc>
          <w:tcPr>
            <w:tcW w:w="1247" w:type="dxa"/>
          </w:tcPr>
          <w:p>
            <w:pPr>
              <w:pStyle w:val="0"/>
              <w:jc w:val="center"/>
            </w:pPr>
            <w:r>
              <w:rPr>
                <w:sz w:val="20"/>
              </w:rPr>
              <w:t xml:space="preserve">22,12</w:t>
            </w:r>
          </w:p>
        </w:tc>
        <w:tc>
          <w:tcPr>
            <w:tcW w:w="1247" w:type="dxa"/>
          </w:tcPr>
          <w:p>
            <w:pPr>
              <w:pStyle w:val="0"/>
              <w:jc w:val="center"/>
            </w:pPr>
            <w:r>
              <w:rPr>
                <w:sz w:val="20"/>
              </w:rPr>
              <w:t xml:space="preserve">5,92</w:t>
            </w:r>
          </w:p>
        </w:tc>
        <w:tc>
          <w:tcPr>
            <w:tcW w:w="1020" w:type="dxa"/>
          </w:tcPr>
          <w:p>
            <w:pPr>
              <w:pStyle w:val="0"/>
              <w:jc w:val="center"/>
            </w:pPr>
            <w:r>
              <w:rPr>
                <w:sz w:val="20"/>
              </w:rPr>
              <w:t xml:space="preserve">5,3</w:t>
            </w:r>
          </w:p>
        </w:tc>
        <w:tc>
          <w:tcPr>
            <w:tcW w:w="1694" w:type="dxa"/>
          </w:tcPr>
          <w:p>
            <w:pPr>
              <w:pStyle w:val="0"/>
              <w:jc w:val="center"/>
            </w:pPr>
            <w:r>
              <w:rPr>
                <w:sz w:val="20"/>
              </w:rPr>
              <w:t xml:space="preserve">13,6</w:t>
            </w:r>
          </w:p>
        </w:tc>
        <w:tc>
          <w:tcPr>
            <w:tcW w:w="1757" w:type="dxa"/>
          </w:tcPr>
          <w:p>
            <w:pPr>
              <w:pStyle w:val="0"/>
              <w:jc w:val="center"/>
            </w:pPr>
            <w:r>
              <w:rPr>
                <w:sz w:val="20"/>
              </w:rPr>
              <w:t xml:space="preserve">6,9</w:t>
            </w:r>
          </w:p>
        </w:tc>
        <w:tc>
          <w:tcPr>
            <w:tcW w:w="1701" w:type="dxa"/>
          </w:tcPr>
          <w:p>
            <w:pPr>
              <w:pStyle w:val="0"/>
              <w:jc w:val="center"/>
            </w:pPr>
            <w:r>
              <w:rPr>
                <w:sz w:val="20"/>
              </w:rPr>
              <w:t xml:space="preserve">-</w:t>
            </w:r>
          </w:p>
        </w:tc>
        <w:tc>
          <w:tcPr>
            <w:tcW w:w="1701" w:type="dxa"/>
          </w:tcPr>
          <w:p>
            <w:pPr>
              <w:pStyle w:val="0"/>
              <w:jc w:val="center"/>
            </w:pPr>
            <w:r>
              <w:rPr>
                <w:sz w:val="20"/>
              </w:rPr>
              <w:t xml:space="preserve">5,6</w:t>
            </w:r>
          </w:p>
        </w:tc>
        <w:tc>
          <w:tcPr>
            <w:tcW w:w="1858" w:type="dxa"/>
          </w:tcPr>
          <w:p>
            <w:pPr>
              <w:pStyle w:val="0"/>
              <w:jc w:val="center"/>
            </w:pPr>
            <w:r>
              <w:rPr>
                <w:sz w:val="20"/>
              </w:rPr>
              <w:t xml:space="preserve">16,3</w:t>
            </w:r>
          </w:p>
        </w:tc>
      </w:tr>
      <w:tr>
        <w:tc>
          <w:tcPr>
            <w:tcW w:w="2098" w:type="dxa"/>
          </w:tcPr>
          <w:p>
            <w:pPr>
              <w:pStyle w:val="0"/>
              <w:jc w:val="center"/>
            </w:pPr>
            <w:r>
              <w:rPr>
                <w:sz w:val="20"/>
              </w:rPr>
              <w:t xml:space="preserve">Дальневосточный федеральный округ</w:t>
            </w:r>
          </w:p>
        </w:tc>
        <w:tc>
          <w:tcPr>
            <w:tcW w:w="1474" w:type="dxa"/>
          </w:tcPr>
          <w:p>
            <w:pPr>
              <w:pStyle w:val="0"/>
              <w:jc w:val="center"/>
            </w:pPr>
            <w:r>
              <w:rPr>
                <w:sz w:val="20"/>
              </w:rPr>
              <w:t xml:space="preserve">85,97</w:t>
            </w:r>
          </w:p>
        </w:tc>
        <w:tc>
          <w:tcPr>
            <w:tcW w:w="1247" w:type="dxa"/>
          </w:tcPr>
          <w:p>
            <w:pPr>
              <w:pStyle w:val="0"/>
              <w:jc w:val="center"/>
            </w:pPr>
            <w:r>
              <w:rPr>
                <w:sz w:val="20"/>
              </w:rPr>
              <w:t xml:space="preserve">28,19</w:t>
            </w:r>
          </w:p>
        </w:tc>
        <w:tc>
          <w:tcPr>
            <w:tcW w:w="1247" w:type="dxa"/>
          </w:tcPr>
          <w:p>
            <w:pPr>
              <w:pStyle w:val="0"/>
              <w:jc w:val="center"/>
            </w:pPr>
            <w:r>
              <w:rPr>
                <w:sz w:val="20"/>
              </w:rPr>
              <w:t xml:space="preserve">7,55</w:t>
            </w:r>
          </w:p>
        </w:tc>
        <w:tc>
          <w:tcPr>
            <w:tcW w:w="1020" w:type="dxa"/>
          </w:tcPr>
          <w:p>
            <w:pPr>
              <w:pStyle w:val="0"/>
              <w:jc w:val="center"/>
            </w:pPr>
            <w:r>
              <w:rPr>
                <w:sz w:val="20"/>
              </w:rPr>
              <w:t xml:space="preserve">7,59</w:t>
            </w:r>
          </w:p>
        </w:tc>
        <w:tc>
          <w:tcPr>
            <w:tcW w:w="1694" w:type="dxa"/>
          </w:tcPr>
          <w:p>
            <w:pPr>
              <w:pStyle w:val="0"/>
              <w:jc w:val="center"/>
            </w:pPr>
            <w:r>
              <w:rPr>
                <w:sz w:val="20"/>
              </w:rPr>
              <w:t xml:space="preserve">16,3</w:t>
            </w:r>
          </w:p>
        </w:tc>
        <w:tc>
          <w:tcPr>
            <w:tcW w:w="1757" w:type="dxa"/>
          </w:tcPr>
          <w:p>
            <w:pPr>
              <w:pStyle w:val="0"/>
              <w:jc w:val="center"/>
            </w:pPr>
            <w:r>
              <w:rPr>
                <w:sz w:val="20"/>
              </w:rPr>
              <w:t xml:space="preserve">7,8</w:t>
            </w:r>
          </w:p>
        </w:tc>
        <w:tc>
          <w:tcPr>
            <w:tcW w:w="1701" w:type="dxa"/>
          </w:tcPr>
          <w:p>
            <w:pPr>
              <w:pStyle w:val="0"/>
              <w:jc w:val="center"/>
            </w:pPr>
            <w:r>
              <w:rPr>
                <w:sz w:val="20"/>
              </w:rPr>
              <w:t xml:space="preserve">17,4</w:t>
            </w:r>
          </w:p>
        </w:tc>
        <w:tc>
          <w:tcPr>
            <w:tcW w:w="1701" w:type="dxa"/>
          </w:tcPr>
          <w:p>
            <w:pPr>
              <w:pStyle w:val="0"/>
              <w:jc w:val="center"/>
            </w:pPr>
            <w:r>
              <w:rPr>
                <w:sz w:val="20"/>
              </w:rPr>
              <w:t xml:space="preserve">5,1</w:t>
            </w:r>
          </w:p>
        </w:tc>
        <w:tc>
          <w:tcPr>
            <w:tcW w:w="1858" w:type="dxa"/>
          </w:tcPr>
          <w:p>
            <w:pPr>
              <w:pStyle w:val="0"/>
              <w:jc w:val="center"/>
            </w:pPr>
            <w:r>
              <w:rPr>
                <w:sz w:val="20"/>
              </w:rPr>
              <w:t xml:space="preserve">16,7</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15"/>
      <w:headerReference w:type="first" r:id="rId15"/>
      <w:footerReference w:type="default" r:id="rId16"/>
      <w:footerReference w:type="first" r:id="rId16"/>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Минсельхоза России от 14.04.2023 N 388</w:t>
            <w:br/>
            <w:t>"Об утверждении видов мероприятий, связанных с воспроизводством плодородия...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09.06.2023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Минсельхоза России от 14.04.2023 N 388</w:t>
            <w:br/>
            <w:t>"Об утверждении видов мероприятий, связанных с воспроизводством плодородия...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09.06.2023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2"/>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2"/>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63DD1781B3D3741BC0124FBC671A972CA5E3F0D8B331A90B8F4D5E9C4B1D8227EBEF7D8005623EC9E1AFE807097413E6F75C73970F13AJ" TargetMode = "External"/>
	<Relationship Id="rId8" Type="http://schemas.openxmlformats.org/officeDocument/2006/relationships/hyperlink" Target="consultantplus://offline/ref=963DD1781B3D3741BC0124FBC671A972CA583E0C8F341A90B8F4D5E9C4B1D8227EBEF7DB025628BBCE55FFDC34CB523E6075C53F6C1B6B9AF834J" TargetMode = "External"/>
	<Relationship Id="rId9" Type="http://schemas.openxmlformats.org/officeDocument/2006/relationships/hyperlink" Target="consultantplus://offline/ref=963DD1781B3D3741BC0124FBC671A972CC5D390B8B361A90B8F4D5E9C4B1D8226CBEAFD7025F36B8C940A98D72F93DJ" TargetMode = "External"/>
	<Relationship Id="rId10" Type="http://schemas.openxmlformats.org/officeDocument/2006/relationships/hyperlink" Target="consultantplus://offline/ref=963DD1781B3D3741BC0124FBC671A972CA5C3C0E853A1A90B8F4D5E9C4B1D8227EBEF7DB025628B0CA55FFDC34CB523E6075C53F6C1B6B9AF834J" TargetMode = "External"/>
	<Relationship Id="rId11" Type="http://schemas.openxmlformats.org/officeDocument/2006/relationships/image" Target="media/image2.wmf"/>
	<Relationship Id="rId12" Type="http://schemas.openxmlformats.org/officeDocument/2006/relationships/hyperlink" Target="consultantplus://offline/ref=963DD1781B3D3741BC0124FBC671A972CA58380A8F341A90B8F4D5E9C4B1D8227EBEF7D8025723EC9E1AFE807097413E6F75C73970F13AJ" TargetMode = "External"/>
	<Relationship Id="rId13" Type="http://schemas.openxmlformats.org/officeDocument/2006/relationships/hyperlink" Target="consultantplus://offline/ref=963DD1781B3D3741BC0124FBC671A972CA58380A8F341A90B8F4D5E9C4B1D8227EBEF7DB025628B9CA55FFDC34CB523E6075C53F6C1B6B9AF834J" TargetMode = "External"/>
	<Relationship Id="rId14" Type="http://schemas.openxmlformats.org/officeDocument/2006/relationships/hyperlink" Target="consultantplus://offline/ref=963DD1781B3D3741BC0124FBC671A972CA5E3F0D8B331A90B8F4D5E9C4B1D8227EBEF7D8035023EC9E1AFE807097413E6F75C73970F13AJ" TargetMode = "External"/>
	<Relationship Id="rId15" Type="http://schemas.openxmlformats.org/officeDocument/2006/relationships/header" Target="header2.xml"/>
	<Relationship Id="rId16"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России от 14.04.2023 N 388
"Об утверждении видов мероприятий, связанных с воспроизводством плодородия земель сельскохозяйственного назначения, и порядка определения стоимости их проведения"
(Зарегистрировано в Минюсте России 25.05.2023 N 73463)</dc:title>
  <dcterms:created xsi:type="dcterms:W3CDTF">2023-06-09T09:55:03Z</dcterms:created>
</cp:coreProperties>
</file>